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560"/>
      </w:pPr>
      <w:r>
        <w:rPr>
          <w:rFonts w:ascii="Aptos Display" w:hAnsi="Aptos Display"/>
          <w:b/>
          <w:color w:val="AD7A19"/>
          <w:sz w:val="26"/>
        </w:rPr>
        <w:t>FABIO CREATOR</w:t>
      </w:r>
    </w:p>
    <w:p>
      <w:pPr>
        <w:pStyle w:val="Title"/>
      </w:pPr>
      <w:r>
        <w:t>BRAND COLLABORATION</w:t>
        <w:br/>
        <w:t>POLICY v1.1</w:t>
      </w:r>
    </w:p>
    <w:p>
      <w:pPr>
        <w:pStyle w:val="Subtitle"/>
      </w:pPr>
      <w:r>
        <w:t>Public collaboration framework • FOR BRANDS</w:t>
      </w:r>
    </w:p>
    <w:p>
      <w:pPr>
        <w:spacing w:before="40" w:after="160"/>
        <w:pBdr>
          <w:bottom w:val="single" w:sz="10" w:space="1" w:color="AD7A19"/>
        </w:pBdr>
      </w:pPr>
    </w:p>
    <w:p>
      <w:pPr>
        <w:pStyle w:val="Lead"/>
      </w:pPr>
      <w:r>
        <w:rPr>
          <w:b/>
          <w:color w:val="122D54"/>
          <w:sz w:val="30"/>
        </w:rPr>
        <w:t>“Non vendo spazi. Racconto storie.”</w:t>
      </w:r>
    </w:p>
    <w:p>
      <w:r>
        <w:t>Questa Policy definisce i principi con cui Fabio Creator valuta e realizza collaborazioni con brand, aziende, agenzie, retailer, professionisti e altri soggetti commerciali. È pensata come filtro preliminare chiaro e leggibile: non sostituisce il brief, il preventivo, l’NDA o l’accordo commerciale specifico.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78"/>
      </w:tblGrid>
      <w:tr>
        <w:tc>
          <w:tcPr>
            <w:tcW w:type="dxa" w:w="9878"/>
            <w:vAlign w:val="center"/>
            <w:shd w:fill="F4F6F9"/>
          </w:tcPr>
          <w:p>
            <w:pPr>
              <w:spacing w:after="0"/>
            </w:pPr>
            <w:r>
              <w:rPr>
                <w:b/>
                <w:color w:val="122D54"/>
              </w:rPr>
              <w:t xml:space="preserve">Principio guida. </w:t>
            </w:r>
            <w:r>
              <w:t>Il prodotto entra nel FABIOVERSE. Il FABIOVERSE non viene snaturato per il prodotto. Quando un progetto non appartiene al FABIOVERSE, lo stesso principio si applica all’identità creativa di Fabio Creator.</w:t>
            </w:r>
          </w:p>
        </w:tc>
      </w:tr>
    </w:tbl>
    <w:p>
      <w:pPr>
        <w:spacing w:after="0"/>
      </w:pPr>
    </w:p>
    <w:p>
      <w:pPr>
        <w:pStyle w:val="Small"/>
      </w:pPr>
      <w:r>
        <w:t>Versione: 1.1 • Settembre 2026</w:t>
      </w:r>
    </w:p>
    <w:p>
      <w:pPr>
        <w:pStyle w:val="Small"/>
      </w:pPr>
      <w:r>
        <w:t>Documento pubblico di orientamento. Non costituisce consulenza legale né un contratto.</w:t>
      </w:r>
    </w:p>
    <w:p>
      <w:r>
        <w:br w:type="page"/>
      </w:r>
    </w:p>
    <w:p>
      <w:pPr>
        <w:pStyle w:val="Heading1"/>
      </w:pPr>
      <w:r>
        <w:t>1. Ambito e natura della Policy</w:t>
      </w:r>
    </w:p>
    <w:p>
      <w:r>
        <w:t>La Policy si applica alle proposte di collaborazione commerciale, branded content, campagne creative, visual storytelling, concept, immagini e video generati o sviluppati con il supporto dell’intelligenza artificiale, nonché ad altri contenuti creativi concordati con Fabio Creator.</w:t>
      </w:r>
    </w:p>
    <w:p>
      <w:r>
        <w:t>Ogni progetto è valutato caso per caso. L’accettazione di un contatto, di un brief o di materiali preliminari non costituisce accettazione automatica dell’incarico.</w:t>
      </w:r>
    </w:p>
    <w:p>
      <w:r>
        <w:t>In caso di conflitto tra questa Policy e un accordo scritto specifico sottoscritto per una collaborazione, prevale l’accordo specifico nei limiti consentiti dalla legge applicabile.</w:t>
      </w:r>
    </w:p>
    <w:p>
      <w:pPr>
        <w:pStyle w:val="Heading1"/>
      </w:pPr>
      <w:r>
        <w:t>2. Titolarità, autorizzazioni e materiali del cliente</w:t>
      </w:r>
    </w:p>
    <w:p>
      <w:r>
        <w:t>Il cliente dichiara di essere titolare, licenziatario o comunque autorizzato a fornire e a far utilizzare, per le finalità concordate, i materiali, i segni e le informazioni messi a disposizione di Fabio Creator.</w:t>
      </w:r>
    </w:p>
    <w:p>
      <w:pPr>
        <w:pStyle w:val="ListBullet"/>
        <w:spacing w:after="50"/>
      </w:pPr>
      <w:r>
        <w:t>Materiali digitali: loghi, fotografie, grafiche, marchi, design, packaging, linee guida, reference, testi, claim e materiali promozionali.</w:t>
      </w:r>
    </w:p>
    <w:p>
      <w:pPr>
        <w:pStyle w:val="ListBullet"/>
        <w:spacing w:after="50"/>
      </w:pPr>
      <w:r>
        <w:t>Materiali fisici: abbigliamento, sneaker, accessori, eyewear, packaging, prototipi e altri prodotti o campioni.</w:t>
      </w:r>
    </w:p>
    <w:p>
      <w:r>
        <w:t>Fabio Creator può chiedere conferme o prove ragionevoli dei diritti e delle autorizzazioni dichiarate e può sospendere o rifiutare il progetto quando emergano dubbi ragionevoli su titolarità, liceità, provenienza o autorizzazioni.</w:t>
      </w:r>
    </w:p>
    <w:p>
      <w:r>
        <w:t>La consegna di un prodotto fisico non trasferisce automaticamente alcun diritto sul prodotto, sul marchio o sul design. Il prodotto può essere utilizzato esclusivamente come riferimento reale per la ricostruzione o la produzione creativa concordata. Spedizione, costi, custodia, restituzione o eventuale ritenzione sono definiti, quando necessari, nell’accordo specifico.</w:t>
      </w:r>
    </w:p>
    <w:p>
      <w:pPr>
        <w:pStyle w:val="Heading1"/>
      </w:pPr>
      <w:r>
        <w:t>3. Direzione creativa e compatibilità del progetto</w:t>
      </w:r>
    </w:p>
    <w:p>
      <w:r>
        <w:t>Il cliente definisce obiettivi, prodotto o servizio, messaggi essenziali, caratteristiche da rappresentare, pubblico, mercati, piattaforme e vincoli del brief. Fabio Creator mantiene la direzione creativa del progetto e traduce tali elementi nel proprio linguaggio visivo e narrativo.</w:t>
      </w:r>
    </w:p>
    <w:p>
      <w:r>
        <w:t>Fabio Creator può proporre modifiche, rifiutare elementi del brief o interrompere una proposta incompatibile con la propria identità creativa, con la sicurezza del brand, con i diritti di terzi, con le regole delle piattaforme o con la normativa applicabile.</w:t>
      </w:r>
    </w:p>
    <w:p>
      <w:r>
        <w:t>L’accettazione della collaborazione non implica l’obbligo di realizzare qualsiasi rappresentazione, claim, posa, scena, uso del prodotto o associazione richiesta.</w:t>
      </w:r>
    </w:p>
    <w:p>
      <w:pPr>
        <w:pStyle w:val="Heading1"/>
      </w:pPr>
      <w:r>
        <w:t>4. FABIOVERSE, Cavalieri e avatar commerciali</w:t>
      </w:r>
    </w:p>
    <w:p>
      <w:r>
        <w:t>Le identità narrative principali del FABIOVERSE costituiscono un patrimonio creativo preesistente di Fabio Creator. La loro presenza in una collaborazione non è automatica e viene valutata caso per caso in base a coerenza narrativa, settore, prodotto, contesto e condizioni della campagna.</w:t>
      </w:r>
    </w:p>
    <w:p>
      <w:r>
        <w:t>La soluzione ordinaria per le collaborazioni può prevedere avatar commerciali dedicati o identità secondarie create appositamente per il progetto. Continuità, esclusività, riutilizzo, eventuale evoluzione dell’avatar e limiti d’impiego vengono definiti nell’accordo.</w:t>
      </w:r>
    </w:p>
    <w:p>
      <w:r>
        <w:t>Salvo diverso accordo scritto, l’utilizzo di un personaggio FABIOVERSE in un progetto non trasferisce al cliente la proprietà dell’identità, del personaggio, del suo universo narrativo o degli altri elementi creativi preesistenti.</w:t>
      </w:r>
    </w:p>
    <w:p>
      <w:pPr>
        <w:pStyle w:val="Heading1"/>
      </w:pPr>
      <w:r>
        <w:t>5. Uso dell’intelligenza artificiale</w:t>
      </w:r>
    </w:p>
    <w:p>
      <w:r>
        <w:t>Fabio Creator utilizza strumenti di intelligenza artificiale generativa all’interno di un processo creativo diretto e controllato umanamente. Il lavoro può comprendere concept, direzione creativa, reference, progettazione della scena, generazione, selezione, editing, controllo qualità e preparazione finale.</w:t>
      </w:r>
    </w:p>
    <w:p>
      <w:r>
        <w:t>La natura artificiale o manipolata dei contenuti viene comunicata quando richiesto dalla legge, dalle regole della piattaforma, dall’accordo o quando necessario per evitare un’impressione ingannevole. Per opere evidentemente artistiche, creative, satiriche o fittizie, la disclosure viene gestita in modo appropriato al contesto e senza compromettere inutilmente la fruizione dell’opera.</w:t>
      </w:r>
    </w:p>
    <w:p>
      <w:r>
        <w:t>Il cliente non può presentare un avatar, una scena generata o una simulazione come prova di un’esperienza reale, di un test fisico, di una prestazione tecnica o di un fatto realmente avvenuto, salvo che tale affermazione sia veritiera, verificabile e autorizzata.</w:t>
      </w:r>
    </w:p>
    <w:p>
      <w:pPr>
        <w:pStyle w:val="Heading1"/>
      </w:pPr>
      <w:r>
        <w:t>6. Claim, accuratezza e responsabilità del cliente</w:t>
      </w:r>
    </w:p>
    <w:p>
      <w:r>
        <w:t>Il cliente è responsabile dell’accuratezza e della liceità delle informazioni e dei claim che fornisce o richiede di comunicare riguardo a prodotto, servizio, prestazioni, prezzi, disponibilità, caratteristiche, certificazioni, promozioni e altri elementi commerciali.</w:t>
      </w:r>
    </w:p>
    <w:p>
      <w:r>
        <w:t>Fabio Creator può rifiutare claim non documentati, ingannevoli, non verificabili o incompatibili con il formato creativo. L’inserimento di un claim nel contenuto non costituisce una verifica tecnica indipendente da parte di Fabio Creator, salvo diverso incarico scritto.</w:t>
      </w:r>
    </w:p>
    <w:p>
      <w:r>
        <w:t>Le parti restano responsabili delle rispettive condotte e degli obblighi che la legge attribuisce direttamente a ciascuna di esse; nessuna clausola contrattuale può eliminare responsabilità inderogabili previste dalla normativa applicabile.</w:t>
      </w:r>
    </w:p>
    <w:p>
      <w:pPr>
        <w:pStyle w:val="Heading1"/>
      </w:pPr>
      <w:r>
        <w:t>7. Approvazioni, revisioni e consegna</w:t>
      </w:r>
    </w:p>
    <w:p>
      <w:r>
        <w:t>Numero di deliverable, formati, fasi di approvazione, revisioni incluse, scadenze, file finali e modalità di consegna vengono definiti nel preventivo o nell’accordo specifico.</w:t>
      </w:r>
    </w:p>
    <w:p>
      <w:r>
        <w:t>Le richieste che modificano sostanzialmente il brief approvato, introducono nuovi prodotti, nuovi mercati, nuove piattaforme o nuovi utilizzi possono richiedere una revisione di tempi, costi e licenze.</w:t>
      </w:r>
    </w:p>
    <w:p>
      <w:pPr>
        <w:pStyle w:val="Heading1"/>
      </w:pPr>
      <w:r>
        <w:t>8. Diritti, licenze e proprietà intellettuale</w:t>
      </w:r>
    </w:p>
    <w:p>
      <w:r>
        <w:t>Il pagamento di una collaborazione non comporta automaticamente cessione totale, perpetua, esclusiva o illimitata di ogni diritto. Salvo diverso accordo scritto, l’uso dei materiali finali è limitato alla licenza espressamente concordata.</w:t>
      </w:r>
    </w:p>
    <w:p>
      <w:pPr>
        <w:pStyle w:val="ListBullet"/>
        <w:spacing w:after="50"/>
      </w:pPr>
      <w:r>
        <w:t>canali e piattaforme autorizzati;</w:t>
      </w:r>
    </w:p>
    <w:p>
      <w:pPr>
        <w:pStyle w:val="ListBullet"/>
        <w:spacing w:after="50"/>
      </w:pPr>
      <w:r>
        <w:t>uso organico e/o advertising a pagamento;</w:t>
      </w:r>
    </w:p>
    <w:p>
      <w:pPr>
        <w:pStyle w:val="ListBullet"/>
        <w:spacing w:after="50"/>
      </w:pPr>
      <w:r>
        <w:t>durata della licenza;</w:t>
      </w:r>
    </w:p>
    <w:p>
      <w:pPr>
        <w:pStyle w:val="ListBullet"/>
        <w:spacing w:after="50"/>
      </w:pPr>
      <w:r>
        <w:t>territorio e mercati;</w:t>
      </w:r>
    </w:p>
    <w:p>
      <w:pPr>
        <w:pStyle w:val="ListBullet"/>
        <w:spacing w:after="50"/>
      </w:pPr>
      <w:r>
        <w:t>diritto di modifica, adattamento o derivazione;</w:t>
      </w:r>
    </w:p>
    <w:p>
      <w:pPr>
        <w:pStyle w:val="ListBullet"/>
        <w:spacing w:after="50"/>
      </w:pPr>
      <w:r>
        <w:t>esclusività di settore, prodotto o categoria;</w:t>
      </w:r>
    </w:p>
    <w:p>
      <w:pPr>
        <w:pStyle w:val="ListBullet"/>
        <w:spacing w:after="50"/>
      </w:pPr>
      <w:r>
        <w:t>ulteriori utilizzi commerciali, media buying, whitelisting o partnership ads;</w:t>
      </w:r>
    </w:p>
    <w:p>
      <w:pPr>
        <w:pStyle w:val="ListBullet"/>
        <w:spacing w:after="50"/>
      </w:pPr>
      <w:r>
        <w:t>eventuale attribuzione;</w:t>
      </w:r>
    </w:p>
    <w:p>
      <w:pPr>
        <w:pStyle w:val="ListBullet"/>
        <w:spacing w:after="50"/>
      </w:pPr>
      <w:r>
        <w:t>eventuale diritto di portfolio e autopromozione di Fabio Creator.</w:t>
      </w:r>
    </w:p>
    <w:p>
      <w:r>
        <w:t>Restano distinti: (a) i materiali e diritti preesistenti del cliente; (b) gli elementi preesistenti di Fabio Creator/FABIOVERSE; (c) i materiali di terzi; (d) i risultati creativi prodotti per il progetto. La titolarità e la licenza di ciascuna categoria sono definite nell’accordo, tenendo conto anche delle eventuali limitazioni giuridiche applicabili ai contenuti generati con AI.</w:t>
      </w:r>
    </w:p>
    <w:p>
      <w:r>
        <w:t>Nessuna rappresentazione di un marchio di terzi deve essere interpretata come autorizzazione, affiliazione, endorsement o partnership del relativo titolare se tale rapporto non esiste.</w:t>
      </w:r>
    </w:p>
    <w:p>
      <w:pPr>
        <w:pStyle w:val="Heading1"/>
      </w:pPr>
      <w:r>
        <w:t>9. Comunicazioni commerciali e disclosure</w:t>
      </w:r>
    </w:p>
    <w:p>
      <w:r>
        <w:t>Quando esiste una relazione commerciale o altro scambio di valore rilevante - inclusi, a seconda del contesto, compensi, prodotti o servizi gratuiti o in prestito, benefit, ospitalità, sconti dedicati o commissioni affiliate - la natura commerciale della comunicazione deve essere resa riconoscibile in modo chiaro e tempestivo secondo la normativa e le regole della piattaforma applicabili.</w:t>
      </w:r>
    </w:p>
    <w:p>
      <w:r>
        <w:t>Gli strumenti nativi della piattaforma, come le etichette di partnership a pagamento, vengono utilizzati quando richiesti; possono essere accompagnati da una disclosure testuale quando necessario. La disclosure non deve essere nascosta in fondo a caption lunghe o confusa in una serie di hashtag.</w:t>
      </w:r>
    </w:p>
    <w:p>
      <w:r>
        <w:t>La semplice rappresentazione o citazione spontanea di un prodotto, in assenza di una relazione o di uno scambio di valore, non viene automaticamente presentata come collaborazione commerciale.</w:t>
      </w:r>
    </w:p>
    <w:p>
      <w:pPr>
        <w:pStyle w:val="Heading1"/>
      </w:pPr>
      <w:r>
        <w:t>10. Mercati, territorio e campagne internazionali</w:t>
      </w:r>
    </w:p>
    <w:p>
      <w:r>
        <w:t>Pubblico potenzialmente globale, territorio di vendita del prodotto, targeting pubblicitario e territorio della licenza sono concetti distinti.</w:t>
      </w:r>
    </w:p>
    <w:p>
      <w:r>
        <w:t>Per ogni campagna commerciale devono essere identificati, per quanto pertinenti: cliente e paese di riferimento, prodotto/servizio, mercati interessati, piattaforme, uso organico o paid, durata, targeting e territorio della licenza. L’estensione internazionale o worldwide non si presume e deve essere concordata.</w:t>
      </w:r>
    </w:p>
    <w:p>
      <w:r>
        <w:t>Quando una campagna è destinata o ragionevolmente idonea a incidere su consumatori di più giurisdizioni, le parti cooperano per individuare disclosure, claim, restrizioni e requisiti locali pertinenti. Il cliente resta responsabile delle informazioni e autorizzazioni specifiche relative ai mercati in cui commercializza il proprio prodotto o servizio.</w:t>
      </w:r>
    </w:p>
    <w:p>
      <w:pPr>
        <w:pStyle w:val="Heading1"/>
      </w:pPr>
      <w:r>
        <w:t>11. Riservatezza e NDA</w:t>
      </w:r>
    </w:p>
    <w:p>
      <w:r>
        <w:t>Prodotti non ancora annunciati, prototipi, design, campagne, date di lancio, prezzi non pubblici, materiali interni, strategie e altre informazioni riservate possono essere protetti mediante NDA.</w:t>
      </w:r>
    </w:p>
    <w:p>
      <w:r>
        <w:t>Fabio Creator può utilizzare un proprio NDA o valutare quello proposto dal cliente. Quando appropriato, la riservatezza può essere reciproca. L’NDA disciplina la confidenzialità ma non sostituisce l’accordo commerciale relativo a deliverable, compensi, diritti, licenze e responsabilità.</w:t>
      </w:r>
    </w:p>
    <w:p>
      <w:pPr>
        <w:pStyle w:val="Heading1"/>
      </w:pPr>
      <w:r>
        <w:t>12. Prodotti e settori sensibili o incompatibili</w:t>
      </w:r>
    </w:p>
    <w:p>
      <w:r>
        <w:t>Fabio Creator valuta liberamente la compatibilità di prodotti, servizi e settori con la propria identità, il pubblico, le piattaforme e la normativa applicabile. Può rifiutare o limitare collaborazioni che presentino rischi legali, reputazionali, di sicurezza o di tutela dei minori.</w:t>
      </w:r>
    </w:p>
    <w:p>
      <w:r>
        <w:t>A titolo non esaustivo, richiedono particolare cautela o possono essere esclusi: prodotti regolamentati o soggetti a limiti di età, gioco d’azzardo, armi, sostanze o prodotti potenzialmente pericolosi, servizi finanziari ad alto rischio, salute e claim medici, contenuti sessuali, prodotti illegali o contraffatti e campagne discriminatorie, ingannevoli o incompatibili con la brand safety.</w:t>
      </w:r>
    </w:p>
    <w:p>
      <w:pPr>
        <w:pStyle w:val="Heading1"/>
      </w:pPr>
      <w:r>
        <w:t>13. Segnalazioni di terzi e diritti contestati</w:t>
      </w:r>
    </w:p>
    <w:p>
      <w:r>
        <w:t>Fabio Creator rispetta i diritti di proprietà intellettuale di terzi. Il titolare di un diritto o un suo rappresentante autorizzato che ritenga che uno specifico contenuto coinvolga impropriamente i propri diritti può inviare una segnalazione identificando il contenuto e la natura della richiesta.</w:t>
      </w:r>
    </w:p>
    <w:p>
      <w:r>
        <w:t>Le segnalazioni vengono esaminate in buona fede e, quando appropriato, possono comportare richiesta di chiarimenti, sospensione temporanea, modifica, limitazione d’uso o rimozione del contenuto, senza che ciò costituisca ammissione automatica di violazione.</w:t>
      </w:r>
    </w:p>
    <w:p>
      <w:r>
        <w:t>Il cliente si impegna a collaborare nella gestione di contestazioni relative a materiali, claim, autorizzazioni o istruzioni da esso forniti. Eventuali garanzie, manleve e procedure di gestione delle contestazioni sono definite nell’accordo commerciale.</w:t>
      </w:r>
    </w:p>
    <w:p>
      <w:pPr>
        <w:pStyle w:val="Heading1"/>
      </w:pPr>
      <w:r>
        <w:t>14. Sospensione, cancellazione e variazioni del progetto</w:t>
      </w:r>
    </w:p>
    <w:p>
      <w:r>
        <w:t>Fabio Creator può sospendere o interrompere la lavorazione quando emergano problemi di pagamento, diritti, sicurezza, liceità, informazioni mancanti, violazioni del brief approvato o rischi non ragionevolmente gestibili.</w:t>
      </w:r>
    </w:p>
    <w:p>
      <w:r>
        <w:t>Cancellazione, rinvio, costi già sostenuti, anticipo, attività già eseguite e conseguenze sulla licenza vengono disciplinati nel preventivo o nell’accordo specifico.</w:t>
      </w:r>
    </w:p>
    <w:p>
      <w:pPr>
        <w:pStyle w:val="Heading1"/>
      </w:pPr>
      <w:r>
        <w:t>15. Archivio creativo indipendente</w:t>
      </w:r>
    </w:p>
    <w:p>
      <w:r>
        <w:t>L’archivio di Fabio Creator e FABIOVERSE comprende contenuti creativi indipendenti realizzati e pubblicati nel corso dell’evoluzione del progetto.</w:t>
      </w:r>
    </w:p>
    <w:p>
      <w:r>
        <w:t>La rappresentazione, citazione o identificazione di prodotti e marchi di terzi all’interno di tali contenuti non implica, salvo espressa indicazione, sponsorizzazione, affiliazione, endorsement, approvazione o collaborazione commerciale con i rispettivi titolari.</w:t>
      </w:r>
    </w:p>
    <w:p>
      <w:r>
        <w:t>I contenuti storici indipendenti non vengono presentati come lavori commissionati da un brand e non vengono automaticamente inclusi nel portfolio commerciale FOR BRANDS.</w:t>
      </w:r>
    </w:p>
    <w:p>
      <w:pPr>
        <w:pStyle w:val="Heading1"/>
      </w:pPr>
      <w:r>
        <w:t>16. Accordo commerciale specifico</w:t>
      </w:r>
    </w:p>
    <w:p>
      <w:r>
        <w:t>Prima della produzione commerciale, le condizioni rilevanti vengono definite per iscritto. A seconda del progetto, l’accordo può includere:</w:t>
      </w:r>
    </w:p>
    <w:p>
      <w:pPr>
        <w:pStyle w:val="ListBullet"/>
        <w:spacing w:after="50"/>
      </w:pPr>
      <w:r>
        <w:t>brief e deliverable;</w:t>
      </w:r>
    </w:p>
    <w:p>
      <w:pPr>
        <w:pStyle w:val="ListBullet"/>
        <w:spacing w:after="50"/>
      </w:pPr>
      <w:r>
        <w:t>compenso, anticipo e scadenze di pagamento;</w:t>
      </w:r>
    </w:p>
    <w:p>
      <w:pPr>
        <w:pStyle w:val="ListBullet"/>
        <w:spacing w:after="50"/>
      </w:pPr>
      <w:r>
        <w:t>tempistiche e milestone;</w:t>
      </w:r>
    </w:p>
    <w:p>
      <w:pPr>
        <w:pStyle w:val="ListBullet"/>
        <w:spacing w:after="50"/>
      </w:pPr>
      <w:r>
        <w:t>revisioni e approvazioni;</w:t>
      </w:r>
    </w:p>
    <w:p>
      <w:pPr>
        <w:pStyle w:val="ListBullet"/>
        <w:spacing w:after="50"/>
      </w:pPr>
      <w:r>
        <w:t>spese e prodotti fisici;</w:t>
      </w:r>
    </w:p>
    <w:p>
      <w:pPr>
        <w:pStyle w:val="ListBullet"/>
        <w:spacing w:after="50"/>
      </w:pPr>
      <w:r>
        <w:t>licenze, territorio, durata, paid media ed esclusività;</w:t>
      </w:r>
    </w:p>
    <w:p>
      <w:pPr>
        <w:pStyle w:val="ListBullet"/>
        <w:spacing w:after="50"/>
      </w:pPr>
      <w:r>
        <w:t>attribuzione e portfolio;</w:t>
      </w:r>
    </w:p>
    <w:p>
      <w:pPr>
        <w:pStyle w:val="ListBullet"/>
        <w:spacing w:after="50"/>
      </w:pPr>
      <w:r>
        <w:t>NDA e riservatezza;</w:t>
      </w:r>
    </w:p>
    <w:p>
      <w:pPr>
        <w:pStyle w:val="ListBullet"/>
        <w:spacing w:after="50"/>
      </w:pPr>
      <w:r>
        <w:t>cancellazione, sospensione e forza maggiore;</w:t>
      </w:r>
    </w:p>
    <w:p>
      <w:pPr>
        <w:pStyle w:val="ListBullet"/>
        <w:spacing w:after="50"/>
      </w:pPr>
      <w:r>
        <w:t>garanzie, responsabilità e gestione delle contestazioni;</w:t>
      </w:r>
    </w:p>
    <w:p>
      <w:pPr>
        <w:pStyle w:val="ListBullet"/>
        <w:spacing w:after="50"/>
      </w:pPr>
      <w:r>
        <w:t>legge applicabile e ulteriori condizioni concordate.</w:t>
      </w:r>
    </w:p>
    <w:p>
      <w:r>
        <w:t>L’avvio della produzione può essere subordinato alla firma dell’accordo e/o al pagamento dell’anticipo concordato.</w:t>
      </w:r>
    </w:p>
    <w:p>
      <w:pPr>
        <w:pStyle w:val="Heading1"/>
      </w:pPr>
      <w:r>
        <w:t>17. Procedura operativa FOR BRANDS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</w:tcPr>
          <w:p>
            <w:r>
              <w:t>FASE</w:t>
            </w:r>
          </w:p>
        </w:tc>
        <w:tc>
          <w:tcPr>
            <w:tcW w:type="dxa" w:w="4939"/>
          </w:tcPr>
          <w:p>
            <w:r>
              <w:t>OBIETTIVO</w:t>
            </w:r>
          </w:p>
        </w:tc>
      </w:tr>
      <w:tr>
        <w:tc>
          <w:tcPr>
            <w:tcW w:type="dxa" w:w="4939"/>
          </w:tcPr>
          <w:p>
            <w:r>
              <w:t>1. BRIEF</w:t>
            </w:r>
          </w:p>
        </w:tc>
        <w:tc>
          <w:tcPr>
            <w:tcW w:type="dxa" w:w="4939"/>
          </w:tcPr>
          <w:p>
            <w:r>
              <w:t>Prodotto, obiettivi, pubblico, mercati, piattaforme, uso organico/paid e vincoli.</w:t>
            </w:r>
          </w:p>
        </w:tc>
      </w:tr>
      <w:tr>
        <w:tc>
          <w:tcPr>
            <w:tcW w:type="dxa" w:w="4939"/>
          </w:tcPr>
          <w:p>
            <w:r>
              <w:t>2. PROPOSTA CREATIVA</w:t>
            </w:r>
          </w:p>
        </w:tc>
        <w:tc>
          <w:tcPr>
            <w:tcW w:type="dxa" w:w="4939"/>
          </w:tcPr>
          <w:p>
            <w:r>
              <w:t>Concept, tono, personaggi/avatar, scena e impostazione narrativa.</w:t>
            </w:r>
          </w:p>
        </w:tc>
      </w:tr>
      <w:tr>
        <w:tc>
          <w:tcPr>
            <w:tcW w:type="dxa" w:w="4939"/>
          </w:tcPr>
          <w:p>
            <w:r>
              <w:t>3. APPROVAZIONE</w:t>
            </w:r>
          </w:p>
        </w:tc>
        <w:tc>
          <w:tcPr>
            <w:tcW w:type="dxa" w:w="4939"/>
          </w:tcPr>
          <w:p>
            <w:r>
              <w:t>Conferma del perimetro creativo, deliverable, costi, diritti e condizioni.</w:t>
            </w:r>
          </w:p>
        </w:tc>
      </w:tr>
      <w:tr>
        <w:tc>
          <w:tcPr>
            <w:tcW w:type="dxa" w:w="4939"/>
          </w:tcPr>
          <w:p>
            <w:r>
              <w:t>4. PRODUZIONE</w:t>
            </w:r>
          </w:p>
        </w:tc>
        <w:tc>
          <w:tcPr>
            <w:tcW w:type="dxa" w:w="4939"/>
          </w:tcPr>
          <w:p>
            <w:r>
              <w:t>Generazione/creazione, selezione, editing, QA e revisioni concordate.</w:t>
            </w:r>
          </w:p>
        </w:tc>
      </w:tr>
      <w:tr>
        <w:tc>
          <w:tcPr>
            <w:tcW w:type="dxa" w:w="4939"/>
          </w:tcPr>
          <w:p>
            <w:r>
              <w:t>5. CONSEGNA</w:t>
            </w:r>
          </w:p>
        </w:tc>
        <w:tc>
          <w:tcPr>
            <w:tcW w:type="dxa" w:w="4939"/>
          </w:tcPr>
          <w:p>
            <w:r>
              <w:t>File finali, formati, licenza e istruzioni di pubblicazione/disclosure.</w:t>
            </w:r>
          </w:p>
        </w:tc>
      </w:tr>
    </w:tbl>
    <w:p>
      <w:pPr>
        <w:pStyle w:val="Heading1"/>
      </w:pPr>
      <w:r>
        <w:t>18. Aggiornamenti della Policy</w:t>
      </w:r>
    </w:p>
    <w:p>
      <w:r>
        <w:t>Questa Policy può essere aggiornata per riflettere l’evoluzione del progetto, delle piattaforme, delle tecnologie, delle prassi commerciali e del quadro normativo. La versione applicabile a una collaborazione è quella richiamata nell’accordo o comunque resa disponibile al momento della definizione del progetto, salvo diverso accordo scritto.</w:t>
      </w:r>
    </w:p>
    <w:p>
      <w:r>
        <w:br w:type="page"/>
      </w:r>
    </w:p>
    <w:p>
      <w:pPr>
        <w:pStyle w:val="Heading1"/>
      </w:pPr>
      <w:r>
        <w:t>APPENDICE A — Regole interne di brand safety</w:t>
      </w:r>
    </w:p>
    <w:p>
      <w:r>
        <w:t>Questa appendice sintetizza criteri operativi utili nella valutazione dei contenuti. Non sostituisce il controllo caso per caso.</w:t>
      </w:r>
    </w:p>
    <w:p>
      <w:pPr>
        <w:spacing w:after="100"/>
      </w:pPr>
      <w:r>
        <w:rPr>
          <w:b/>
          <w:color w:val="122D54"/>
        </w:rPr>
        <w:t xml:space="preserve">Integrazione visiva / product placement — </w:t>
      </w:r>
      <w:r>
        <w:t>Il prodotto può entrare nella scena senza trasformare automaticamente il personaggio in testimonial.</w:t>
      </w:r>
    </w:p>
    <w:p>
      <w:pPr>
        <w:spacing w:after="100"/>
      </w:pPr>
      <w:r>
        <w:rPr>
          <w:b/>
          <w:color w:val="122D54"/>
        </w:rPr>
        <w:t xml:space="preserve">Branded storytelling — </w:t>
      </w:r>
      <w:r>
        <w:t>La narrazione può costruire un mondo attorno al prodotto, mantenendo chiara la natura della collaborazione quando esiste.</w:t>
      </w:r>
    </w:p>
    <w:p>
      <w:pPr>
        <w:spacing w:after="100"/>
      </w:pPr>
      <w:r>
        <w:rPr>
          <w:b/>
          <w:color w:val="122D54"/>
        </w:rPr>
        <w:t xml:space="preserve">Endorsement / testimonianza — </w:t>
      </w:r>
      <w:r>
        <w:t>Non attribuire a un avatar esperienze fisiche, gustative, prestazionali o personali inesistenti. Le esperienze reali del creator vanno attribuite in modo non ingannevole.</w:t>
      </w:r>
    </w:p>
    <w:p>
      <w:pPr>
        <w:spacing w:after="100"/>
      </w:pPr>
      <w:r>
        <w:rPr>
          <w:b/>
          <w:color w:val="122D54"/>
        </w:rPr>
        <w:t xml:space="preserve">Claim di prodotto — </w:t>
      </w:r>
      <w:r>
        <w:t>Prestazioni, resistenza, comfort, benefici, prezzi e disponibilità devono essere veri, aggiornati per il contesto e supportati da fonti o informazioni del cliente.</w:t>
      </w:r>
    </w:p>
    <w:p>
      <w:pPr>
        <w:spacing w:after="100"/>
      </w:pPr>
      <w:r>
        <w:rPr>
          <w:b/>
          <w:color w:val="122D54"/>
        </w:rPr>
        <w:t xml:space="preserve">Concept non commissionati — </w:t>
      </w:r>
      <w:r>
        <w:t>Se vengono pubblicati concept con marchi reali, evitare formulazioni che facciano pensare a prodotto ufficiale, approvazione o collaborazione inesistente; quando opportuno indicare chiaramente la natura indipendente/unofficial.</w:t>
      </w:r>
    </w:p>
    <w:p>
      <w:pPr>
        <w:spacing w:after="100"/>
      </w:pPr>
      <w:r>
        <w:rPr>
          <w:b/>
          <w:color w:val="122D54"/>
        </w:rPr>
        <w:t xml:space="preserve">Materiali ufficiali di terzi — </w:t>
      </w:r>
      <w:r>
        <w:t>Non utilizzare automaticamente fotografie pubblicitarie, grafiche o asset ufficiali trovati online: richiedere diritti, autorizzazioni o una base d’uso appropriata.</w:t>
      </w:r>
    </w:p>
    <w:p>
      <w:pPr>
        <w:spacing w:after="100"/>
      </w:pPr>
      <w:r>
        <w:rPr>
          <w:b/>
          <w:color w:val="122D54"/>
        </w:rPr>
        <w:t xml:space="preserve">Avatar e prodotti sensibili — </w:t>
      </w:r>
      <w:r>
        <w:t>Valutare con particolare cautela categorie regolamentate, minori, salute, finanza, alcol, gioco, armi e altri settori ad alto rischio.</w:t>
      </w:r>
    </w:p>
    <w:p>
      <w:pPr>
        <w:spacing w:after="100"/>
      </w:pPr>
      <w:r>
        <w:rPr>
          <w:b/>
          <w:color w:val="122D54"/>
        </w:rPr>
        <w:t xml:space="preserve">Paid media — </w:t>
      </w:r>
      <w:r>
        <w:t>L’uso pubblicitario a pagamento è distinto dalla pubblicazione organica e deve essere espressamente licenziato e verificato per territorio, durata e piattaforma.</w:t>
      </w:r>
    </w:p>
    <w:p>
      <w:pPr>
        <w:pStyle w:val="Heading1"/>
      </w:pPr>
      <w:r>
        <w:t>APPENDICE B — Checklist minima prima di accettare un brief</w:t>
      </w:r>
    </w:p>
    <w:p>
      <w:pPr>
        <w:pStyle w:val="ListBullet"/>
        <w:spacing w:after="50"/>
      </w:pPr>
      <w:r>
        <w:t>Chi è il cliente e chi firma l’incarico?</w:t>
      </w:r>
    </w:p>
    <w:p>
      <w:pPr>
        <w:pStyle w:val="ListBullet"/>
        <w:spacing w:after="50"/>
      </w:pPr>
      <w:r>
        <w:t>Qual è il prodotto/servizio e in quali paesi è venduto o promosso?</w:t>
      </w:r>
    </w:p>
    <w:p>
      <w:pPr>
        <w:pStyle w:val="ListBullet"/>
        <w:spacing w:after="50"/>
      </w:pPr>
      <w:r>
        <w:t>Quali materiali e marchi vengono forniti e con quali autorizzazioni?</w:t>
      </w:r>
    </w:p>
    <w:p>
      <w:pPr>
        <w:pStyle w:val="ListBullet"/>
        <w:spacing w:after="50"/>
      </w:pPr>
      <w:r>
        <w:t>Qual è il messaggio/claim richiesto e chi ne garantisce l’accuratezza?</w:t>
      </w:r>
    </w:p>
    <w:p>
      <w:pPr>
        <w:pStyle w:val="ListBullet"/>
        <w:spacing w:after="50"/>
      </w:pPr>
      <w:r>
        <w:t>Dove sarà pubblicato il contenuto?</w:t>
      </w:r>
    </w:p>
    <w:p>
      <w:pPr>
        <w:pStyle w:val="ListBullet"/>
        <w:spacing w:after="50"/>
      </w:pPr>
      <w:r>
        <w:t>Uso organico, paid advertising o entrambi?</w:t>
      </w:r>
    </w:p>
    <w:p>
      <w:pPr>
        <w:pStyle w:val="ListBullet"/>
        <w:spacing w:after="50"/>
      </w:pPr>
      <w:r>
        <w:t>Qual è la durata e il territorio della licenza?</w:t>
      </w:r>
    </w:p>
    <w:p>
      <w:pPr>
        <w:pStyle w:val="ListBullet"/>
        <w:spacing w:after="50"/>
      </w:pPr>
      <w:r>
        <w:t>È richiesta esclusività?</w:t>
      </w:r>
    </w:p>
    <w:p>
      <w:pPr>
        <w:pStyle w:val="ListBullet"/>
        <w:spacing w:after="50"/>
      </w:pPr>
      <w:r>
        <w:t>Sono coinvolti Cavalieri/FABIOVERSE o avatar dedicati?</w:t>
      </w:r>
    </w:p>
    <w:p>
      <w:pPr>
        <w:pStyle w:val="ListBullet"/>
        <w:spacing w:after="50"/>
      </w:pPr>
      <w:r>
        <w:t>Serve NDA?</w:t>
      </w:r>
    </w:p>
    <w:p>
      <w:pPr>
        <w:pStyle w:val="ListBullet"/>
        <w:spacing w:after="50"/>
      </w:pPr>
      <w:r>
        <w:t>Quali disclosure commerciali e AI sono necessarie?</w:t>
      </w:r>
    </w:p>
    <w:p>
      <w:pPr>
        <w:pStyle w:val="ListBullet"/>
        <w:spacing w:after="50"/>
      </w:pPr>
      <w:r>
        <w:t>Sono presenti categorie sensibili, limiti d’età o requisiti locali?</w:t>
      </w:r>
    </w:p>
    <w:p>
      <w:pPr>
        <w:pStyle w:val="ListBullet"/>
        <w:spacing w:after="50"/>
      </w:pPr>
      <w:r>
        <w:t>Sono definiti deliverable, revisioni, compenso, anticipo, scadenze e cancellazione?</w:t>
      </w:r>
    </w:p>
    <w:p>
      <w:pPr>
        <w:pStyle w:val="Heading1"/>
      </w:pPr>
      <w:r>
        <w:t>APPENDICE C — Riferimenti di conformità verificati</w:t>
      </w:r>
    </w:p>
    <w:p>
      <w:r>
        <w:t>La Policy è stata aggiornata dopo un controllo di fonti ufficiali disponibili a settembre 2026. I riferimenti sotto sono indicativi e non sostituiscono la verifica normativa specifica per singola campagna.</w:t>
      </w:r>
    </w:p>
    <w:p>
      <w:pPr>
        <w:pStyle w:val="ListBullet"/>
        <w:spacing w:after="50"/>
      </w:pPr>
      <w:r>
        <w:t>AGCOM — Delibera n. 197/25/CONS, Linee guida e Codice di condotta per gli influencer; FAQ pubblicate il 16 marzo 2026.</w:t>
      </w:r>
    </w:p>
    <w:p>
      <w:pPr>
        <w:pStyle w:val="ListBullet"/>
        <w:spacing w:after="50"/>
      </w:pPr>
      <w:r>
        <w:t>Unione europea — Regolamento (UE) 2024/1689 (AI Act), art. 50, obblighi di trasparenza per determinati contenuti generati o manipolati dall’AI.</w:t>
      </w:r>
    </w:p>
    <w:p>
      <w:pPr>
        <w:pStyle w:val="ListBullet"/>
        <w:spacing w:after="50"/>
      </w:pPr>
      <w:r>
        <w:t>Commissione europea — Influencer Legal Hub, consumer protection, advertising disclosure e responsabilità degli influencer come trader.</w:t>
      </w:r>
    </w:p>
    <w:p>
      <w:pPr>
        <w:pStyle w:val="ListBullet"/>
        <w:spacing w:after="50"/>
      </w:pPr>
      <w:r>
        <w:t>Regolamento (UE) 2017/1001 sul marchio dell’Unione europea, in particolare art. 9 sui diritti conferiti dal marchio.</w:t>
      </w:r>
    </w:p>
    <w:p>
      <w:pPr>
        <w:pStyle w:val="ListBullet"/>
        <w:spacing w:after="50"/>
      </w:pPr>
      <w:r>
        <w:t>Meta / Instagram — Branded Content Policies e paid partnership label per contenuti con exchange of value.</w:t>
      </w:r>
    </w:p>
    <w:p>
      <w:pPr>
        <w:pStyle w:val="ListBullet"/>
        <w:spacing w:after="50"/>
      </w:pPr>
      <w:r>
        <w:t>FTC (USA) — Endorsement Guides e Disclosures 101: material connections, chiarezza delle disclosure e responsabilità di advertiser/endorser.</w:t>
      </w:r>
    </w:p>
    <w:p>
      <w:pPr>
        <w:pStyle w:val="ListBullet"/>
        <w:spacing w:after="50"/>
      </w:pPr>
      <w:r>
        <w:t>Regole e policy dei titolari dei marchi/piattaforme applicabili al progetto, da verificare caso per caso.</w:t>
      </w:r>
    </w:p>
    <w:p/>
    <w:p>
      <w:pPr>
        <w:spacing w:before="40" w:after="160"/>
        <w:pBdr>
          <w:bottom w:val="single" w:sz="10" w:space="1" w:color="AD7A19"/>
        </w:pBdr>
      </w:pPr>
    </w:p>
    <w:p>
      <w:pPr>
        <w:jc w:val="center"/>
      </w:pPr>
      <w:r>
        <w:rPr>
          <w:b/>
          <w:color w:val="122D54"/>
          <w:sz w:val="24"/>
        </w:rPr>
        <w:t>FABIO CREATOR — FOR BRANDS</w:t>
      </w:r>
    </w:p>
    <w:p>
      <w:pPr>
        <w:jc w:val="center"/>
      </w:pPr>
      <w:r>
        <w:rPr>
          <w:b/>
        </w:rPr>
        <w:t>fabiocreator.com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96969"/>
        <w:sz w:val="16"/>
      </w:rPr>
      <w:t>Brand Collaboration Policy v1.1  |  September 2026  |  fabiocreator.com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122D54"/>
        <w:sz w:val="16"/>
      </w:rPr>
      <w:t>FABIO CREATOR  /  FOR BRANDS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10" w:line="259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22D54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AD7A19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22D54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A5A5A"/>
      <w:spacing w:val="15"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ead">
    <w:name w:val="Lead"/>
    <w:pPr>
      <w:spacing w:after="180" w:line="269" w:lineRule="auto"/>
    </w:pPr>
    <w:rPr>
      <w:rFonts w:ascii="Aptos" w:hAnsi="Aptos"/>
      <w:color w:val="373737"/>
      <w:sz w:val="23"/>
    </w:rPr>
  </w:style>
  <w:style w:type="paragraph" w:customStyle="1" w:styleId="Small">
    <w:name w:val="Small"/>
    <w:pPr>
      <w:spacing w:after="60"/>
    </w:pPr>
    <w:rPr>
      <w:rFonts w:ascii="Aptos" w:hAnsi="Aptos"/>
      <w:color w:val="5A5A5A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Fabio Creator — Brand Collaboration Policy v1.1</dc:title>
  <dc:subject>FOR BRANDS public collaboration framework</dc:subject>
  <dc:creator>Fabio Creator</dc:creator>
  <cp:keywords>Fabio Creator, FABIOVERSE, FOR BRANDS, collaboration policy, AI, brand safety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